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5C" w:rsidRPr="00FA3BFE" w:rsidRDefault="00FA3BFE" w:rsidP="001C2496">
      <w:pPr>
        <w:spacing w:line="276" w:lineRule="auto"/>
        <w:rPr>
          <w:rFonts w:ascii="Avenir Roman" w:eastAsia="Times New Roman" w:hAnsi="Avenir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FA3BFE">
        <w:rPr>
          <w:rFonts w:ascii="Avenir Roman" w:eastAsia="Times New Roman" w:hAnsi="Avenir Roman" w:cs="Times New Roman"/>
          <w:color w:val="222222"/>
          <w:sz w:val="19"/>
          <w:szCs w:val="19"/>
          <w:shd w:val="clear" w:color="auto" w:fill="FFFFFF"/>
          <w:lang w:eastAsia="pl-PL"/>
        </w:rPr>
        <w:t>Polski Związek Instytucji Pożyczkowych – Związek Pracodawców</w:t>
      </w:r>
    </w:p>
    <w:p w:rsidR="00FA3BFE" w:rsidRPr="00FA3BFE" w:rsidRDefault="00FA3BFE" w:rsidP="001C2496">
      <w:pPr>
        <w:spacing w:line="276" w:lineRule="auto"/>
        <w:rPr>
          <w:rFonts w:ascii="Avenir Roman" w:eastAsia="Times New Roman" w:hAnsi="Avenir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FA3BFE">
        <w:rPr>
          <w:rFonts w:ascii="Avenir Roman" w:eastAsia="Times New Roman" w:hAnsi="Avenir Roman" w:cs="Times New Roman"/>
          <w:color w:val="222222"/>
          <w:sz w:val="19"/>
          <w:szCs w:val="19"/>
          <w:shd w:val="clear" w:color="auto" w:fill="FFFFFF"/>
          <w:lang w:eastAsia="pl-PL"/>
        </w:rPr>
        <w:t>Ul. Wiejska 12</w:t>
      </w:r>
      <w:r>
        <w:rPr>
          <w:rFonts w:ascii="Avenir Roman" w:eastAsia="Times New Roman" w:hAnsi="Avenir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, </w:t>
      </w:r>
      <w:r w:rsidRPr="00FA3BFE">
        <w:rPr>
          <w:rFonts w:ascii="Avenir Roman" w:eastAsia="Times New Roman" w:hAnsi="Avenir Roman" w:cs="Times New Roman"/>
          <w:color w:val="222222"/>
          <w:sz w:val="19"/>
          <w:szCs w:val="19"/>
          <w:shd w:val="clear" w:color="auto" w:fill="FFFFFF"/>
          <w:lang w:eastAsia="pl-PL"/>
        </w:rPr>
        <w:t>00-490 Warszawa</w:t>
      </w:r>
      <w:r>
        <w:rPr>
          <w:rFonts w:ascii="Avenir Roman" w:eastAsia="Times New Roman" w:hAnsi="Avenir Roman" w:cs="Times New Roman"/>
          <w:color w:val="222222"/>
          <w:sz w:val="19"/>
          <w:szCs w:val="19"/>
          <w:shd w:val="clear" w:color="auto" w:fill="FFFFFF"/>
          <w:lang w:eastAsia="pl-PL"/>
        </w:rPr>
        <w:t>, kontakt@pzip.pl</w:t>
      </w:r>
    </w:p>
    <w:p w:rsidR="00FA3BFE" w:rsidRDefault="00FA3BFE" w:rsidP="00FA3BFE">
      <w:pPr>
        <w:pStyle w:val="Tytu"/>
        <w:rPr>
          <w:rFonts w:ascii="Avenir Roman" w:eastAsia="Times New Roman" w:hAnsi="Avenir Roman"/>
          <w:sz w:val="24"/>
          <w:szCs w:val="24"/>
          <w:shd w:val="clear" w:color="auto" w:fill="FFFFFF"/>
          <w:lang w:eastAsia="pl-PL"/>
        </w:rPr>
      </w:pPr>
    </w:p>
    <w:p w:rsidR="00FA3BFE" w:rsidRPr="00FA3BFE" w:rsidRDefault="00FA3BFE" w:rsidP="00FA3BFE">
      <w:pPr>
        <w:pStyle w:val="Tytu"/>
        <w:rPr>
          <w:rFonts w:ascii="Avenir Roman" w:eastAsia="Times New Roman" w:hAnsi="Avenir Roman"/>
          <w:sz w:val="28"/>
          <w:szCs w:val="28"/>
          <w:shd w:val="clear" w:color="auto" w:fill="FFFFFF"/>
          <w:lang w:eastAsia="pl-PL"/>
        </w:rPr>
      </w:pPr>
      <w:r w:rsidRPr="00FA3BFE">
        <w:rPr>
          <w:rFonts w:ascii="Avenir Roman" w:eastAsia="Times New Roman" w:hAnsi="Avenir Roman"/>
          <w:sz w:val="28"/>
          <w:szCs w:val="28"/>
          <w:shd w:val="clear" w:color="auto" w:fill="FFFFFF"/>
          <w:lang w:eastAsia="pl-PL"/>
        </w:rPr>
        <w:t xml:space="preserve">Stanowisko instytucji pożyczkowych wobec projektu ustawy </w:t>
      </w:r>
      <w:proofErr w:type="spellStart"/>
      <w:r w:rsidRPr="00FA3BFE">
        <w:rPr>
          <w:rFonts w:ascii="Avenir Roman" w:eastAsia="Times New Roman" w:hAnsi="Avenir Roman"/>
          <w:sz w:val="28"/>
          <w:szCs w:val="28"/>
          <w:shd w:val="clear" w:color="auto" w:fill="FFFFFF"/>
          <w:lang w:eastAsia="pl-PL"/>
        </w:rPr>
        <w:t>antylichwiarskiej</w:t>
      </w:r>
      <w:proofErr w:type="spellEnd"/>
    </w:p>
    <w:p w:rsidR="00FA3BFE" w:rsidRDefault="00FA3BFE" w:rsidP="001C2496">
      <w:pPr>
        <w:spacing w:line="276" w:lineRule="auto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</w:p>
    <w:p w:rsidR="00FA3BFE" w:rsidRDefault="00FA3BFE" w:rsidP="001C2496">
      <w:pPr>
        <w:spacing w:line="276" w:lineRule="auto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</w:p>
    <w:p w:rsidR="002742BF" w:rsidRDefault="00583545" w:rsidP="006F3B81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W odniesieniu do decyzji Rady Ministrów z 25. czerwca 2019 r. o obniżeniu maksymalnych pozaodsetkowych kosztów kredytu konsumenckiego do </w:t>
      </w:r>
      <w:r w:rsidRPr="0017485C">
        <w:rPr>
          <w:rFonts w:ascii="Times New Roman" w:eastAsia="Times New Roman" w:hAnsi="Times New Roman" w:cs="Times New Roman"/>
          <w:b/>
          <w:color w:val="222222"/>
          <w:sz w:val="19"/>
          <w:szCs w:val="19"/>
          <w:shd w:val="clear" w:color="auto" w:fill="FFFFFF"/>
          <w:lang w:eastAsia="pl-PL"/>
        </w:rPr>
        <w:t>nierynkowej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sumy 10 proc. i 10 proc. w skali roku informujemy, że </w:t>
      </w:r>
      <w:r w:rsidR="00FC7DC1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po 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jej wejściu w życie, </w:t>
      </w:r>
      <w:r w:rsidRPr="0017485C">
        <w:rPr>
          <w:rFonts w:ascii="Times New Roman" w:eastAsia="Times New Roman" w:hAnsi="Times New Roman" w:cs="Times New Roman"/>
          <w:b/>
          <w:color w:val="222222"/>
          <w:sz w:val="19"/>
          <w:szCs w:val="19"/>
          <w:shd w:val="clear" w:color="auto" w:fill="FFFFFF"/>
          <w:lang w:eastAsia="pl-PL"/>
        </w:rPr>
        <w:t>zakończy się działalność sektora instytucji pożyczkowych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. </w:t>
      </w:r>
      <w:r w:rsidR="0069187B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Ponieważ projekt ustawy likwiduje podaż, a nie reguluje popytu, to </w:t>
      </w:r>
      <w:bookmarkStart w:id="0" w:name="_GoBack"/>
      <w:bookmarkEnd w:id="0"/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likwidacji </w:t>
      </w:r>
      <w:r w:rsidR="0069187B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legalnego i nadzorowanego 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rynku</w:t>
      </w:r>
      <w:r w:rsidR="0069187B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pożyczkowego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, z którego korzysta 3 mln osób rocznie, </w:t>
      </w:r>
      <w:r w:rsidR="0069187B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przyniesie </w:t>
      </w:r>
      <w:r w:rsidR="0069187B" w:rsidRPr="0017485C">
        <w:rPr>
          <w:rFonts w:ascii="Times New Roman" w:eastAsia="Times New Roman" w:hAnsi="Times New Roman" w:cs="Times New Roman"/>
          <w:b/>
          <w:color w:val="222222"/>
          <w:sz w:val="19"/>
          <w:szCs w:val="19"/>
          <w:shd w:val="clear" w:color="auto" w:fill="FFFFFF"/>
          <w:lang w:eastAsia="pl-PL"/>
        </w:rPr>
        <w:t xml:space="preserve">wyniki </w:t>
      </w:r>
      <w:r w:rsidR="009133D4" w:rsidRPr="0017485C">
        <w:rPr>
          <w:rFonts w:ascii="Times New Roman" w:eastAsia="Times New Roman" w:hAnsi="Times New Roman" w:cs="Times New Roman"/>
          <w:b/>
          <w:color w:val="222222"/>
          <w:sz w:val="19"/>
          <w:szCs w:val="19"/>
          <w:shd w:val="clear" w:color="auto" w:fill="FFFFFF"/>
          <w:lang w:eastAsia="pl-PL"/>
        </w:rPr>
        <w:t>sprzeczne z celami projektu ustawy</w:t>
      </w:r>
      <w:r w:rsidR="009133D4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: </w:t>
      </w:r>
    </w:p>
    <w:p w:rsidR="006F3B81" w:rsidRPr="0017485C" w:rsidRDefault="006F3B81" w:rsidP="006F3B81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</w:p>
    <w:p w:rsidR="002742BF" w:rsidRPr="0017485C" w:rsidRDefault="006F3B81" w:rsidP="006F3B8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rozwój</w:t>
      </w:r>
      <w:r w:rsidR="00185F9A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pożyczek bezumownych w szarej strefie i lombardach</w:t>
      </w:r>
      <w:r w:rsidR="00FE2A7A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dla najbardziej zdesperowanych konsumentów</w:t>
      </w:r>
      <w:r w:rsidR="00185F9A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,</w:t>
      </w:r>
    </w:p>
    <w:p w:rsidR="002742BF" w:rsidRPr="0017485C" w:rsidRDefault="00185F9A" w:rsidP="006F3B8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próby obchodzenia limitu przez skomplikowane konstrukcje prawne</w:t>
      </w:r>
      <w:r w:rsidR="006F3B81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lub struktury zagraniczne,</w:t>
      </w:r>
    </w:p>
    <w:p w:rsidR="00485C81" w:rsidRPr="0017485C" w:rsidRDefault="00FE2A7A" w:rsidP="006F3B8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wzrost wykluczenia finansowego poprzez odcięcie konsumentów od możliwości zaciągnięcia legalnej, drobnej, krótkoterminowej pożyczki, które</w:t>
      </w:r>
      <w:r w:rsidR="006F3B81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j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nie by</w:t>
      </w:r>
      <w:r w:rsidR="00226F02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ło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i nie </w:t>
      </w:r>
      <w:r w:rsidR="00226F02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ma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w ofercie banków.</w:t>
      </w:r>
    </w:p>
    <w:p w:rsidR="00DA48DA" w:rsidRPr="0017485C" w:rsidRDefault="00C53082" w:rsidP="006F3B81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Wszystkie dotychczasowe wyliczenia w oparciu o dane, a nie myślenie życzeniowe, uzasadniają pozostawienie limitów kosztów pozaodsetkowych na dotychczasowym poziomie, który </w:t>
      </w:r>
      <w:r w:rsidR="009C699C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nie nakłada na konsumentów nadmiernych obciążeń i zapewnia funkcjonowanie rynku pożyczkowego z rentownością 3,</w:t>
      </w:r>
      <w:r w:rsidR="00485C81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2</w:t>
      </w:r>
      <w:r w:rsidR="001C6249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%</w:t>
      </w:r>
      <w:r w:rsidR="00485C81" w:rsidRPr="0017485C">
        <w:rPr>
          <w:rStyle w:val="Odwoanieprzypisudolnego"/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footnoteReference w:id="1"/>
      </w:r>
      <w:r w:rsidR="009C699C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.</w:t>
      </w:r>
      <w:r w:rsidR="006F3B81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</w:t>
      </w:r>
      <w:r w:rsidR="00794307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Argumentacja, że biznes pożyczkowy jest wysokodochodowy i przetrwa zredukowanie cen kredytu o 60%, przy równocześnie wprowadzanych kosztach nadzoru i innych ograniczeniach jest </w:t>
      </w:r>
      <w:r w:rsidR="00794307" w:rsidRPr="0017485C">
        <w:rPr>
          <w:rFonts w:ascii="Times New Roman" w:eastAsia="Times New Roman" w:hAnsi="Times New Roman" w:cs="Times New Roman"/>
          <w:b/>
          <w:color w:val="222222"/>
          <w:sz w:val="19"/>
          <w:szCs w:val="19"/>
          <w:shd w:val="clear" w:color="auto" w:fill="FFFFFF"/>
          <w:lang w:eastAsia="pl-PL"/>
        </w:rPr>
        <w:t>nieprawdziwa</w:t>
      </w:r>
      <w:r w:rsidR="00FA2CD6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.</w:t>
      </w:r>
    </w:p>
    <w:p w:rsidR="00963D73" w:rsidRPr="0017485C" w:rsidRDefault="00963D73" w:rsidP="006F3B81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</w:p>
    <w:p w:rsidR="00FA2CD6" w:rsidRPr="0017485C" w:rsidRDefault="00226F02" w:rsidP="006F3B81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Postulat autorów projektu</w:t>
      </w:r>
      <w:r w:rsidR="00FA2CD6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, że jedynym dochodem pożyczkodawcy powinny być odsetki – 10% w skali roku, z założenia wyklucza z rynku produkty </w:t>
      </w:r>
      <w:proofErr w:type="spellStart"/>
      <w:r w:rsidR="00FA2CD6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niskokwotowe</w:t>
      </w:r>
      <w:proofErr w:type="spellEnd"/>
      <w:r w:rsidR="00FA2CD6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, oferowane na krótkie okresy i</w:t>
      </w:r>
      <w:r w:rsidR="006F3B81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</w:t>
      </w:r>
      <w:r w:rsidR="006F3B81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jest</w:t>
      </w:r>
      <w:r w:rsidR="00FA2CD6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sprzeczn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y</w:t>
      </w:r>
      <w:r w:rsidR="00FA2CD6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z </w:t>
      </w:r>
      <w:r w:rsidR="001C6249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opinią</w:t>
      </w:r>
      <w:r w:rsidR="00FA2CD6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Rzecznika Trybunału Sprawiedliwości Unii Europejskiej, który </w:t>
      </w:r>
      <w:r w:rsidR="000F3066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orzekł,</w:t>
      </w:r>
      <w:r w:rsidR="00C9369A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że „</w:t>
      </w:r>
      <w:r w:rsidR="00C9369A" w:rsidRPr="0017485C">
        <w:rPr>
          <w:rFonts w:ascii="Times New Roman" w:eastAsia="Times New Roman" w:hAnsi="Times New Roman" w:cs="Times New Roman"/>
          <w:i/>
          <w:color w:val="222222"/>
          <w:sz w:val="19"/>
          <w:szCs w:val="19"/>
          <w:shd w:val="clear" w:color="auto" w:fill="FFFFFF"/>
          <w:lang w:eastAsia="pl-PL"/>
        </w:rPr>
        <w:t>wszelkie koszty i opłaty jakie ponoszą konsumenci mogą w części stanowić zysk, ponieważ żaden przepis nie zobowiązuje instytucji kredytowych, aby swoją marżę zysku osiągały wyłącznie poprzez odsetki naliczane konsumentom</w:t>
      </w:r>
      <w:r w:rsidR="00C9369A" w:rsidRPr="0017485C">
        <w:rPr>
          <w:rStyle w:val="Odwoanieprzypisudolnego"/>
          <w:rFonts w:ascii="Times New Roman" w:eastAsia="Times New Roman" w:hAnsi="Times New Roman" w:cs="Times New Roman"/>
          <w:i/>
          <w:color w:val="222222"/>
          <w:sz w:val="19"/>
          <w:szCs w:val="19"/>
          <w:shd w:val="clear" w:color="auto" w:fill="FFFFFF"/>
          <w:lang w:eastAsia="pl-PL"/>
        </w:rPr>
        <w:footnoteReference w:id="2"/>
      </w:r>
      <w:r w:rsidR="00C9369A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”</w:t>
      </w:r>
      <w:r w:rsidR="00F924BC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.</w:t>
      </w:r>
    </w:p>
    <w:p w:rsidR="00FA2CD6" w:rsidRPr="0017485C" w:rsidRDefault="00FA2CD6" w:rsidP="006F3B81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</w:p>
    <w:p w:rsidR="00963D73" w:rsidRPr="0017485C" w:rsidRDefault="00963D73" w:rsidP="006F3B81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b/>
          <w:color w:val="222222"/>
          <w:sz w:val="19"/>
          <w:szCs w:val="19"/>
          <w:shd w:val="clear" w:color="auto" w:fill="FFFFFF"/>
          <w:lang w:eastAsia="pl-PL"/>
        </w:rPr>
        <w:t>Stanowczo protestujemy też przeciwko określaniu, a nawet łączeniu instytucji pożyczkowych z działalnością o charakterze lichwiarskim.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Konotacje tego typu są nieprawdziwe, krzywdzące i naruszają dobra osobiste osób </w:t>
      </w:r>
      <w:r w:rsidR="006F3B81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fizycznych i 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prawnych, wykonujących regulowaną działalność gospodarczą na podstawie </w:t>
      </w:r>
      <w:r w:rsidR="00772656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ustawy o kredycie konsumenckim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, zasad samoregulacyjnych i kodeksu etycznego</w:t>
      </w:r>
      <w:r w:rsidR="006F3B81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, a także godzą w klientów instytucji pożyczkowych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. Podkreślamy, że ze wszystkich przykładów ewidentnej lichwy przedstawianych przez autorów projektu ustawy w uzasadnieniu i </w:t>
      </w:r>
      <w:r w:rsidR="00226F02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prezentowanych w 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mediach, żaden nie dotyczy działalności instytucji pożyczkowych i żaden nie wydarzył się </w:t>
      </w:r>
      <w:r w:rsidR="0006347B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w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obecnie obowiązującym stanie prawnym.</w:t>
      </w:r>
    </w:p>
    <w:p w:rsidR="00963D73" w:rsidRPr="0017485C" w:rsidRDefault="00963D73" w:rsidP="006F3B81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</w:p>
    <w:p w:rsidR="006F3B81" w:rsidRPr="0017485C" w:rsidRDefault="00545953" w:rsidP="006F3B81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Jeżeli powyższe argumenty nie przekonają legislatora do zmiany stanowiska, w efekcie wejścia w życie nowego prawa, </w:t>
      </w:r>
      <w:r w:rsidR="001C6249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będą miały miejsce 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następujące skutki:</w:t>
      </w:r>
    </w:p>
    <w:p w:rsidR="00DB1222" w:rsidRPr="0017485C" w:rsidRDefault="00DB1222" w:rsidP="00F57CA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wycofanie oferty wszystkich pożyczek pozabankowych z rynku za względu na oczywistą nierentowność działalności </w:t>
      </w:r>
      <w:r w:rsidR="00DC73B2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biznesowej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,</w:t>
      </w:r>
    </w:p>
    <w:p w:rsidR="00DB1222" w:rsidRPr="0017485C" w:rsidRDefault="00DB1222" w:rsidP="00F57CA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odcięcie </w:t>
      </w:r>
      <w:r w:rsidR="00DC73B2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3</w:t>
      </w:r>
      <w:r w:rsidR="00DC73B2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milionów konsumentów od możliwości finansowania zewnętrznego,</w:t>
      </w:r>
    </w:p>
    <w:p w:rsidR="00DB1222" w:rsidRPr="0017485C" w:rsidRDefault="00DB1222" w:rsidP="00F57CA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spadek konkurencji na rynku </w:t>
      </w:r>
      <w:proofErr w:type="spellStart"/>
      <w:r w:rsidRPr="00226F02">
        <w:rPr>
          <w:rFonts w:ascii="Times New Roman" w:eastAsia="Times New Roman" w:hAnsi="Times New Roman" w:cs="Times New Roman"/>
          <w:i/>
          <w:color w:val="222222"/>
          <w:sz w:val="19"/>
          <w:szCs w:val="19"/>
          <w:shd w:val="clear" w:color="auto" w:fill="FFFFFF"/>
          <w:lang w:eastAsia="pl-PL"/>
        </w:rPr>
        <w:t>consumer</w:t>
      </w:r>
      <w:proofErr w:type="spellEnd"/>
      <w:r w:rsidRPr="00226F02">
        <w:rPr>
          <w:rFonts w:ascii="Times New Roman" w:eastAsia="Times New Roman" w:hAnsi="Times New Roman" w:cs="Times New Roman"/>
          <w:i/>
          <w:color w:val="222222"/>
          <w:sz w:val="19"/>
          <w:szCs w:val="19"/>
          <w:shd w:val="clear" w:color="auto" w:fill="FFFFFF"/>
          <w:lang w:eastAsia="pl-PL"/>
        </w:rPr>
        <w:t xml:space="preserve"> </w:t>
      </w:r>
      <w:proofErr w:type="spellStart"/>
      <w:r w:rsidRPr="00226F02">
        <w:rPr>
          <w:rFonts w:ascii="Times New Roman" w:eastAsia="Times New Roman" w:hAnsi="Times New Roman" w:cs="Times New Roman"/>
          <w:i/>
          <w:color w:val="222222"/>
          <w:sz w:val="19"/>
          <w:szCs w:val="19"/>
          <w:shd w:val="clear" w:color="auto" w:fill="FFFFFF"/>
          <w:lang w:eastAsia="pl-PL"/>
        </w:rPr>
        <w:t>finance</w:t>
      </w:r>
      <w:proofErr w:type="spellEnd"/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, </w:t>
      </w:r>
      <w:r w:rsidR="00226F02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z</w:t>
      </w:r>
      <w:r w:rsidR="00226F02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u</w:t>
      </w:r>
      <w:r w:rsidR="00226F02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b</w:t>
      </w:r>
      <w:r w:rsidR="00226F02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o</w:t>
      </w:r>
      <w:r w:rsidR="00226F02"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żenie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oferty, w konsekwencji wzrost cen w </w:t>
      </w:r>
      <w:r w:rsidR="001C6249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sektorze bankowym</w:t>
      </w:r>
      <w:r w:rsidR="002E5286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do górnego limitu kosztów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,</w:t>
      </w:r>
    </w:p>
    <w:p w:rsidR="00DB1222" w:rsidRPr="0017485C" w:rsidRDefault="00DB1222" w:rsidP="00F57CA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utrata pracy przez ok. 40 tys. osób zatrudnionych w sektorze pożyczkowy</w:t>
      </w:r>
      <w:r w:rsidR="00226F02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m,</w:t>
      </w:r>
    </w:p>
    <w:p w:rsidR="00DB1222" w:rsidRPr="0017485C" w:rsidRDefault="00DB1222" w:rsidP="00F57CA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trudne do oszacowania redukcje etatów w mikroprzedsiębiorstwach, korzystających dotychczas z finansowania pożyczkowego, z powodu utraty płynności</w:t>
      </w:r>
      <w:r w:rsidR="00226F02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,</w:t>
      </w:r>
    </w:p>
    <w:p w:rsidR="00DB1222" w:rsidRPr="0017485C" w:rsidRDefault="00DB1222" w:rsidP="00F57CA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spadek dochodu budżetu Państwa o 2,2 mld zł</w:t>
      </w:r>
      <w:r w:rsidR="00226F02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rocznie,</w:t>
      </w:r>
    </w:p>
    <w:p w:rsidR="00DB1222" w:rsidRPr="0017485C" w:rsidRDefault="00DB1222" w:rsidP="00F57CA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lastRenderedPageBreak/>
        <w:t>krach na rynku obligacji przedsiębiorstw pożyczkowych i dotkliwe straty dla inwestorów na rynku kapitałowym,</w:t>
      </w:r>
    </w:p>
    <w:p w:rsidR="00DB1222" w:rsidRPr="0017485C" w:rsidRDefault="00F57CAF" w:rsidP="00F57CAF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spowolnienie tempa rozwoju innowacji w sektorze </w:t>
      </w:r>
      <w:proofErr w:type="spellStart"/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fintech</w:t>
      </w:r>
      <w:proofErr w:type="spellEnd"/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, którego internetowe instytucje pożyczkowe są niezbędnym elementem.</w:t>
      </w:r>
    </w:p>
    <w:p w:rsidR="00545953" w:rsidRPr="0017485C" w:rsidRDefault="0015143E" w:rsidP="006F3B81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226F02">
        <w:rPr>
          <w:rFonts w:ascii="Times New Roman" w:eastAsia="Times New Roman" w:hAnsi="Times New Roman" w:cs="Times New Roman"/>
          <w:b/>
          <w:color w:val="222222"/>
          <w:sz w:val="19"/>
          <w:szCs w:val="19"/>
          <w:shd w:val="clear" w:color="auto" w:fill="FFFFFF"/>
          <w:lang w:eastAsia="pl-PL"/>
        </w:rPr>
        <w:t>W załączniku A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przedstawiono rozwinięcie wraz z uzasadnieniem skutków regulacji poprzez analizę ekonomiczno-gospodarczą wprowadzanej zmiany (tzw. </w:t>
      </w:r>
      <w:proofErr w:type="spellStart"/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impact</w:t>
      </w:r>
      <w:proofErr w:type="spellEnd"/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</w:t>
      </w:r>
      <w:proofErr w:type="spellStart"/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assessment</w:t>
      </w:r>
      <w:proofErr w:type="spellEnd"/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). </w:t>
      </w:r>
      <w:r w:rsidRPr="00226F02">
        <w:rPr>
          <w:rFonts w:ascii="Times New Roman" w:eastAsia="Times New Roman" w:hAnsi="Times New Roman" w:cs="Times New Roman"/>
          <w:b/>
          <w:color w:val="222222"/>
          <w:sz w:val="19"/>
          <w:szCs w:val="19"/>
          <w:shd w:val="clear" w:color="auto" w:fill="FFFFFF"/>
          <w:lang w:eastAsia="pl-PL"/>
        </w:rPr>
        <w:t>W załączniku B</w:t>
      </w: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przedstawiono model kosztowy typowego przedsiębiorstwa pożyczkowego w branży internetowej</w:t>
      </w:r>
      <w:r w:rsidR="006F3B81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 xml:space="preserve"> w zderzeniu z nowowprowadzanymi limitami.</w:t>
      </w:r>
    </w:p>
    <w:p w:rsidR="00226F02" w:rsidRDefault="00226F02" w:rsidP="006F3B81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</w:p>
    <w:p w:rsidR="00545953" w:rsidRPr="0017485C" w:rsidRDefault="00545953" w:rsidP="001C2496">
      <w:pPr>
        <w:spacing w:line="276" w:lineRule="auto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Załącznik A</w:t>
      </w:r>
    </w:p>
    <w:p w:rsidR="00226F02" w:rsidRDefault="00226F02" w:rsidP="001C2496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</w:pPr>
    </w:p>
    <w:p w:rsidR="00A63CB1" w:rsidRPr="0017485C" w:rsidRDefault="00A63CB1" w:rsidP="001C2496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 xml:space="preserve">ANALIZA EKONOMICZNA I GOSPODARCZA SKUTKÓW OBNIŻENIA MAKSYMALNEGO </w:t>
      </w:r>
      <w:r w:rsidR="00BC12C6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 xml:space="preserve">NIEODSETKOWEGO </w:t>
      </w: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KOSZTU KREDYTU KONSUMENCKIEGO DO 10% + 10%</w:t>
      </w: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</w:pPr>
    </w:p>
    <w:p w:rsidR="00A63CB1" w:rsidRPr="0017485C" w:rsidRDefault="00A63CB1" w:rsidP="001C249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Wpływ obniżenia limitu na podaż pożyczek oferowanych przez Instytucje pożyczkowe</w:t>
      </w: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6B423E" w:rsidRPr="002E5286" w:rsidRDefault="006B423E" w:rsidP="002E5286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</w:pPr>
      <w:r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 xml:space="preserve">Likwidacja </w:t>
      </w:r>
      <w:r w:rsidR="00E856A3"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nadzorowanego</w:t>
      </w:r>
      <w:r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 xml:space="preserve"> rynku.</w:t>
      </w:r>
    </w:p>
    <w:p w:rsidR="006B423E" w:rsidRDefault="006B423E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Po wprowadzenie limitu na poziomie zaproponowanym przez Ministerstwo Sprawiedliwości z bardzo dużym prawdopodobieństwem żadna z Instytucji Pożyczkowych, również tych działających w sektorze online, nie będzie w</w:t>
      </w:r>
      <w:r w:rsidR="006C5473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stanie zapewnić sobie rentowności. W konsekwencji z rynku całkowicie znikną oferty pożyczek na niskie kwoty i krótki termin.</w:t>
      </w:r>
      <w:r w:rsidR="006B423E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Część przedsiębiorstw może podjąć próby obejścia limitu przez skomplikowane konstrukcje prawne, działalność transgraniczną lub ucieczkę do szarej strefy. Lukę podażową zastąpi nowy kapitał o niewiadomym pochodzeniu, który stworzy podziemie pożyczkowe, co bezpośrednio wpłynie na wzrost przestępczości.</w:t>
      </w: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A63CB1" w:rsidRPr="0017485C" w:rsidRDefault="00A63CB1" w:rsidP="001C249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Wpływ obniżenia limitu na popyt na pożyczki oferowane przez Instytucje pożyczkowe</w:t>
      </w: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9E1501" w:rsidRPr="002E5286" w:rsidRDefault="00A63CB1" w:rsidP="002E5286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</w:pPr>
      <w:r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Brak wpływu.</w:t>
      </w:r>
    </w:p>
    <w:p w:rsidR="009E1501" w:rsidRDefault="009E150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Liczbę potencjalnych klientów szacuje się od 3 mln osób. Społeczeństwo polskie cechuje wysoki popyt na kredyty konsumpcyjne, który wywołany jest przez </w:t>
      </w:r>
      <w:r w:rsidR="00DC73B2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wciąż</w:t>
      </w:r>
      <w:r w:rsidR="00DC73B2"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stosunkowo niski poziom dochodów i relatywnie niewielkie zasoby majątkowe w porównaniu do obywateli państw Europy Zachodniej. Większość pożyczek przeznaczana jest na zakup sprzętu RTV, usługi i dobra o charakterze kulturalno-rozrywkowym oraz regulowanie bieżących zobowiązań wynikających np. ze zdarzeń losowych (bardzo wysoki rachunek za gaz, naprawa uszkodzonego samochodu, etc.). </w:t>
      </w: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Instytucje pożyczkowe dostarczają płynności do gospodarstw domowych, które w danym momencie mogą mieć utrudniony dostęp do kredytu bankowego, np. pogorszenie zdolności kredytowej wynikającej z nieregularnych dochodów (np. praca freelancerów). Często zapewniają finansowanie pomostowe pomiędzy otrzymaniem wypłaty a koniecznością uregulowania płatności np. rat bankowych. W przypadku znacznego ograniczenia oferty, popyt nie ulegnie </w:t>
      </w:r>
      <w:r w:rsidR="006C5473"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osłabieniu,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gdyż nie zostaną wyeliminowane podstawowe czynniki kreujące potrzeby pożyczkowe Polaków tzn. </w:t>
      </w:r>
      <w:r w:rsidR="009A4A79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niższe od przeciętnej unijnej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i </w:t>
      </w:r>
      <w:r w:rsidR="009A4A79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często 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nieregularne dochody, duże nienasycenie dobrami materialnymi, stałe i nieelastyczne koszty. Do tego dochodzi niska skłonność do oszczędzania, która jest wypadkową wymienionych wcześniej czynników i niskiego poziomu edukacji finansowej.</w:t>
      </w: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A63CB1" w:rsidRPr="0017485C" w:rsidRDefault="00A63CB1" w:rsidP="001C249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Wpływ obniżenia limitu na konkurencję i konsumenta w sektorze Consumer Finance</w:t>
      </w: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A56D0A" w:rsidRPr="002E5286" w:rsidRDefault="00A56D0A" w:rsidP="002E5286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</w:pPr>
      <w:r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 xml:space="preserve">Spadek konkurencji, zubożenie oferty, wzrost cen w sektorze </w:t>
      </w:r>
      <w:r w:rsidR="002E5286"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bankowym</w:t>
      </w:r>
      <w:r w:rsid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.</w:t>
      </w:r>
    </w:p>
    <w:p w:rsidR="00A56D0A" w:rsidRDefault="00A56D0A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2E5286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Sektor pożyczek online cechuje duża konkurencja. Obecnie konsument</w:t>
      </w:r>
      <w:r w:rsidR="009E1501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może wybierać pośród kilkudziesięciu serwisów pożyczkowych</w:t>
      </w:r>
      <w:r w:rsidR="009E1501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i kilkudziesięciu dostawców pożyczek naziemnych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, z których znaczna część uwzględniana jest w wyspecjalizowanych porównywarkach internetowych filtrujących pożyczki zarówno pod kątem ceny, długości trwania umowy i innych warunków. Klient ma pełną możliwość zapoznania się z ofertą szerokiej gamy produktów i wyboru tego, który mu najbardziej odpowiada. Po wprowadzeniu restrykcyjnego limitu z rynku </w:t>
      </w:r>
      <w:r w:rsidR="009E1501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wycofane zostaną 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ofert</w:t>
      </w:r>
      <w:r w:rsidR="009E1501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y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pożyczek, co w konsekwencji negatywnie wpłynie na konkurencję – tym samym również pogorszy sytuację 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lastRenderedPageBreak/>
        <w:t>konsumenta.</w:t>
      </w:r>
      <w:r w:rsidR="002E5286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Zubożenie oferty obniży presję konkurencyjną i doprowadzi do zmniejszenia presji cenowej, a pośrednio do wzrostu i spłaszczenia cen w sektorze bankowym na poziomie górnej granicy kosztów.</w:t>
      </w:r>
    </w:p>
    <w:p w:rsidR="002E5286" w:rsidRPr="0017485C" w:rsidRDefault="002E5286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A63CB1" w:rsidRPr="0017485C" w:rsidRDefault="00A63CB1" w:rsidP="001C249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Wpływ obniżenia limitu na rynek pracy</w:t>
      </w: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9E1501" w:rsidRPr="002E5286" w:rsidRDefault="009E1501" w:rsidP="002E5286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</w:pPr>
      <w:r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Utrata pracy osób zatrudnionych i</w:t>
      </w:r>
      <w:r w:rsidR="00DC73B2"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 xml:space="preserve"> </w:t>
      </w:r>
      <w:r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współpracujących z sektorem I</w:t>
      </w:r>
      <w:r w:rsidR="00A63CB1"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nstytucj</w:t>
      </w:r>
      <w:r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i</w:t>
      </w:r>
      <w:r w:rsidR="00A63CB1"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 xml:space="preserve"> Pożyczkow</w:t>
      </w:r>
      <w:r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ych -</w:t>
      </w:r>
      <w:r w:rsidR="00A63CB1"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 xml:space="preserve"> </w:t>
      </w:r>
      <w:r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40</w:t>
      </w:r>
      <w:r w:rsidR="00A63CB1"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 xml:space="preserve"> tys. osób.</w:t>
      </w:r>
    </w:p>
    <w:p w:rsidR="009E1501" w:rsidRDefault="009E150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E9612B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Ok. 70% zatrudnionych </w:t>
      </w:r>
      <w:r w:rsidR="00E9612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w sektorze 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stanowią kobiety. Większość pracowników Instytucji Pożyczkowych to osoby młode i dobrze wykształcone. Wprowadzenie limitów w kształcie zaproponowanym przez Ministerstwo Sprawiedliwości spowoduje konieczność zakończenia działalności, a to wymusi zwolnienia grupowe wśród pracowników Instytucji Pożyczkowych i ich kooperantów.</w:t>
      </w:r>
      <w:r w:rsidR="00E9612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</w:t>
      </w:r>
    </w:p>
    <w:p w:rsidR="00E9612B" w:rsidRDefault="00E9612B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E9612B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Wśród klientów Instytucji Pożyczkowych znajdują się także drobni przedsiębiorcy, którzy nader często w obrocie gospodarczym borykają się z problemem zatorów płatniczych. Szybkie pożyczki w wielu sytuacjach zaciągane są w celu dofinansowania funduszu płac dla pracowników tychże przedsiębiorstw. Po otrzymaniu zapłaty za zaległe faktury, większość natychmiast reguluje swoje zobowiązanie wobec Instytucji Pożyczkowych. Po wprowadzeniu limitów, takie operacje będą niemożliwe, a to może zwiększyć ryzyko opóźnienia </w:t>
      </w:r>
      <w:r w:rsidRPr="00E9612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wypłat dla niektórych osób pozostających w stosunku pracy </w:t>
      </w:r>
      <w:r w:rsidR="00E9612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wobec</w:t>
      </w:r>
      <w:r w:rsidRPr="00E9612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drobnych </w:t>
      </w:r>
      <w:proofErr w:type="spellStart"/>
      <w:r w:rsidRPr="00E9612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mikroprzedsiębiorców</w:t>
      </w:r>
      <w:proofErr w:type="spellEnd"/>
      <w:r w:rsidR="00E9612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.</w:t>
      </w:r>
    </w:p>
    <w:p w:rsidR="00A63CB1" w:rsidRPr="0017485C" w:rsidRDefault="00E9612B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</w:t>
      </w:r>
    </w:p>
    <w:p w:rsidR="00A63CB1" w:rsidRPr="0017485C" w:rsidRDefault="00A63CB1" w:rsidP="001C249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Wpływ obniżenia limitu na sektor finansów publicznych</w:t>
      </w: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E9612B" w:rsidRPr="002E5286" w:rsidRDefault="00E9612B" w:rsidP="002E5286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</w:pPr>
      <w:r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Straty dochodów budżetu Państwa w wysokości 2200 mln zł rocznie.</w:t>
      </w:r>
    </w:p>
    <w:p w:rsidR="00E9612B" w:rsidRDefault="00E9612B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174F70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Instytucje pożyczkowe są podatnikiem podatku dochodowego, VAT-u, składek do ZUS-u odprowadzanych za pracowników, a także podatku bankowego oraz składek na Rzecznika Finansowego</w:t>
      </w:r>
      <w:r w:rsidR="00174F70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, docelowo poniosą również koszty nadzoru Komisji Nadzoru Finansowego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. Instytucje pożyczkowe w odróżnieniu od banków i SKOK-ów nie mogą utraconych pożyczek zaliczyć w koszty uzyskania przychodów. </w:t>
      </w:r>
      <w:r w:rsidR="00DB7B4C"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Łączna wartość składek do ZUS-u oraz podatku należnego CIT zapłaconego przez Instytucje Pożyczkowe szacowana jest na 1 mld zł rocznie.</w:t>
      </w:r>
      <w:r w:rsidR="00DB7B4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Ponadto Instytucje Pożyczkowe są przede wszystkim dostawcą kapitału i płynności na rynek konsumencki. Pożyczki przeznaczane są na bieżącą konsumpcję towarów i usług objętych podstawową stawką VAT – 23%. Zmniejszenie podaży pożyczek automatycznie wpłynie na dostępność finansowania tego rodzaju zakupów. </w:t>
      </w:r>
    </w:p>
    <w:p w:rsidR="00174F70" w:rsidRDefault="00174F70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W efekcie przewidujemy spadek wpływów z tytułu podatku VAT z tzw. konsumpcji bieżącej o kolejny 1 mld zł. Ograniczenie w dostępie do finansowania odbije się także na dochodach tych przedsiębiorców, których klientami byli pożyczkobiorcy – w tym wypadku szacujemy spadek dochodów do budżetu państwa o ok. 200 mln zł. Do tego należy doliczyć niespodziewany wzrost zapasów i kosztów magazynowych, które do czasu renegocjacji umów z łańcuchem dostawców negatywnie odbiją się na bilansie przedsiębiorstw. Innymi słowy, ograniczenie limitu kosztów w kredycie konsumenckim pośrednio niekorzystnie wpłynie na odczyty podstawowych wskaźników gospodarczych – dynamice konsumpcji, inwestycji a także PKB i realnie obniży dochody budżetu państwa o 2,2 mld zł rocznie.</w:t>
      </w: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A63CB1" w:rsidRPr="0017485C" w:rsidRDefault="00A63CB1" w:rsidP="001C249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Wpływ obniżenia limitu na rynek obligacji</w:t>
      </w:r>
    </w:p>
    <w:p w:rsidR="00A63CB1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2E5286" w:rsidRPr="002E5286" w:rsidRDefault="002E5286" w:rsidP="002E5286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</w:pPr>
      <w:r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Krach na rynku obligacji i dotkliwe straty dla inwestorów indywidualnych i instytucjonalnych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.</w:t>
      </w:r>
    </w:p>
    <w:p w:rsidR="002E5286" w:rsidRPr="0017485C" w:rsidRDefault="002E5286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Wartość obligacji emitowanych przez firmy pożyczkowe w 2016 roku wyniosła ok. 538 mln zł – z tego ok. 80% wartości emisji kierowane jest do inwestorów instytucjonalnych. Sukcesy emisji zależą od m.in. 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cash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flow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spółki, marki, wysokości oprocentowania. Ponadto istotne znaczenie ma grupa docelowa emisji, czy jest ona skierowana do klientów instytucjonalnych (w zasadzie tylko wyższe kwoty pow. 10 mln zł). Przeciętne oprocentowanie obligacji o terminie zapadalności do 2 lat wynosi ok. 12% w przypadku emisji kierowanej do inwestorów indywidualnych i do 8,5% w przypadku inwestorów instytucjonalnych. Łączne koszty pozyskania finansowania po stronie instytucji pożyczkowej są odpowiednio wyższe, ponieważ wymagają pokrycia kosztów emisyjnych, dodatkowo przeciętnie od 2% do 5%.</w:t>
      </w: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Obniżenie limitu maksymalnych kosztów w kształcie zaproponowanym przez resort sprawiedliwości generuje olbrzymie ryzyko niewykupienia kuponów przez Instytucje Pożyczkowe, a to w konsekwencji doprowadzi do strat 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lastRenderedPageBreak/>
        <w:t xml:space="preserve">inwestorów na kwotę </w:t>
      </w:r>
      <w:r w:rsidR="00DB7B4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ponad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0,5 mld zł. Tak duża jednorazowa strata wiąże się z dużymi kosztami 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reputacyjnymi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dla polskiego rynku kapitałowego, a tak duży jednorazowy wstrząs finansowy może zachwiać przyszłością rynku obligacji 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Catalyst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należącego do Warszawskiej Giełdy Papierów Wartościowych. Jednocześnie, w przypadku inwestorów instytucjonalnych, dodatkowe ryzyka związane są z zabezpieczeniami kapitałowymi w sektorze bankowym. </w:t>
      </w: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A63CB1" w:rsidRPr="0017485C" w:rsidRDefault="00A63CB1" w:rsidP="001C249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 xml:space="preserve">Wpływ obniżenia limitu na sektor </w:t>
      </w:r>
      <w:proofErr w:type="spellStart"/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FinTech</w:t>
      </w:r>
      <w:proofErr w:type="spellEnd"/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2E5286" w:rsidRPr="002E5286" w:rsidRDefault="002E5286" w:rsidP="002E5286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</w:pPr>
      <w:r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 xml:space="preserve">Marginalizacja rynku </w:t>
      </w:r>
      <w:proofErr w:type="spellStart"/>
      <w:r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fintech</w:t>
      </w:r>
      <w:proofErr w:type="spellEnd"/>
      <w:r w:rsidRPr="002E5286"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 xml:space="preserve"> i zatrzymanie rozwoju nowych technologii w finansach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u w:val="single"/>
          <w:lang w:eastAsia="pl-PL"/>
        </w:rPr>
        <w:t>.</w:t>
      </w:r>
    </w:p>
    <w:p w:rsidR="002E5286" w:rsidRDefault="002E5286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Sektor 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FinTech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w Polsce wyceniany jest na ok. 1 mld euro. Polski sektor 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FinTech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w znacznym stopniu opiera się na inwestycjach w nowoczesne rozwiązania płatnicze, inwestycyjne, ubezpieczeniowe, analityczne oraz 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antyfraudowe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. Jednym z głównych graczy na tym rynku, obok banków, są instytucje pożyczkowe. Finansowanie inwestycji w zakresie poprawy procesów, zaawansowanego zarządzania danymi, a także tworzenia nowych modeli 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scoringowych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w znacznym stopniu wywołane </w:t>
      </w: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jest przez silną konkurencję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na rynku pożyczkowym, gdzie instytucje pożyczkowe i banki muszą walczyć o klienta nie tylko ceną, ale także funkcjonalnością systemu udzielania pożyczek lub kredytów. Inwestycje w nowoczesne modele 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scoringowe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i 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antyfraudowe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są konieczne do zwiększenia poziomu zabezpieczenia klientów także w zakresie ochrony konsumentów przed tzw. „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przekredytowaniem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”.</w:t>
      </w:r>
    </w:p>
    <w:p w:rsidR="00A63CB1" w:rsidRPr="0017485C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A63CB1" w:rsidRDefault="00A63CB1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Wzajemna konkurencja kreowana przez instytucje pożyczkowe i sektor bankowy wymusza ciągłe inwestycje w poprawę jakości usług, które w możliwie najwyższym stopniu prowadzą do większego zadowolenia klienta. Wprowadzenie nowych restrykcyjnych limitów, co prawdopodobnie doprowadzi do zamknięcia działalności wszystkich instytucji pożyczkowych i zmniejszy konkurencję na rynku finansowym, przełoży się na większą awersję do inwestycji w sektor 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FinTech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, który w znakomitym stopniu zdominowany jest przez polskie firmy informatyczne. Ich odpływ na zachodnie rynki wiąże się z dużym ryzykiem postępującego „drenażu mózgów”, czyli odpływu najzdolniejszych ekspertów do pracy na rynkach zagranicznych. Równocześnie spadek inwestycji w sektor 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FinTech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, będący konsekwencją mniejszej konkurencji, doprowadzi do zmniejszenia ekspansji zagranicznej polskich przedsiębiorstw, jednocześnie otwierając pole do importu rozwiązań z państw z mniej restrykcyjnymi regulacjami. </w:t>
      </w:r>
    </w:p>
    <w:p w:rsidR="003C4932" w:rsidRPr="0017485C" w:rsidRDefault="003C4932" w:rsidP="001C2496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963D73" w:rsidRPr="0017485C" w:rsidRDefault="00545953" w:rsidP="001C2496">
      <w:pPr>
        <w:spacing w:line="276" w:lineRule="auto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____</w:t>
      </w:r>
    </w:p>
    <w:p w:rsidR="00545953" w:rsidRPr="0017485C" w:rsidRDefault="00545953" w:rsidP="001C2496">
      <w:pPr>
        <w:spacing w:line="276" w:lineRule="auto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</w:p>
    <w:p w:rsidR="00545953" w:rsidRDefault="00545953" w:rsidP="001C2496">
      <w:pPr>
        <w:spacing w:line="276" w:lineRule="auto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  <w:r w:rsidRPr="0017485C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  <w:t>Załącznik B</w:t>
      </w:r>
    </w:p>
    <w:p w:rsidR="00DB7B4C" w:rsidRPr="0017485C" w:rsidRDefault="00DB7B4C" w:rsidP="001C2496">
      <w:pPr>
        <w:spacing w:line="276" w:lineRule="auto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</w:p>
    <w:p w:rsidR="00DB7B4C" w:rsidRPr="0017485C" w:rsidRDefault="00DB7B4C" w:rsidP="00DB7B4C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 xml:space="preserve">ANALIZA </w:t>
      </w:r>
      <w:r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KOSZTU PROWADZENIA DZIAŁALNOSCI W FORMIE INTERNETOWEJ INSTYTUCJI POŻYCZKOWEJ</w:t>
      </w:r>
    </w:p>
    <w:p w:rsidR="00545953" w:rsidRPr="0017485C" w:rsidRDefault="00545953" w:rsidP="001C2496">
      <w:pPr>
        <w:spacing w:line="276" w:lineRule="auto"/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  <w:lang w:eastAsia="pl-PL"/>
        </w:rPr>
      </w:pPr>
    </w:p>
    <w:p w:rsidR="00545953" w:rsidRDefault="00545953" w:rsidP="0054595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Ministerstwo Sprawiedliwości proponuje obniżenie wskaźników określających maksymalną wysokość opłat i prowizji. </w:t>
      </w:r>
      <w:r w:rsidR="00DB7B4C"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Zmiany zaproponowane przez Ministerstwo Sprawiedliwości obniżają limit do nie więcej niż 10% kwoty kredytu plus 10% kwoty za każdy rok trwania umowy. Z kolei całkowita suma kosztów nie może przekroczyć 75% pożyczanej kwoty.</w:t>
      </w:r>
      <w:r w:rsidR="00DB7B4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Aktualnie obowiązujące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regulacj</w:t>
      </w:r>
      <w:r w:rsidR="00DB7B4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e,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obowiązując</w:t>
      </w:r>
      <w:r w:rsidR="00DB7B4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e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od marca 2016 roku</w:t>
      </w:r>
      <w:r w:rsidR="00DB7B4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, </w:t>
      </w:r>
      <w:r w:rsidR="002E5286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ustalają,</w:t>
      </w:r>
      <w:r w:rsidR="00DB7B4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że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maksymalny koszt kredytu nie może przekroczyć 25% kwoty kredytu plus 30% kwoty za każdy rok trwania umowy. Całkowita suma kosztów nie może przekroczyć 100% pożyczanej kwoty.</w:t>
      </w:r>
    </w:p>
    <w:p w:rsidR="00DB7B4C" w:rsidRPr="0017485C" w:rsidRDefault="00DB7B4C" w:rsidP="0054595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545953" w:rsidRPr="0017485C" w:rsidRDefault="00545953" w:rsidP="0054595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Analizując wypowiedzi publiczne przedstawicieli Projektodawcy odnosimy wrażenie, że Projektodawca zakłada, że koszt 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pozaodsetkowy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w całości stanowi zysk firmy pożyczkowej – jest to nieprawda. Opłaty z tytułu odsetek i kosztów pozaodsetkowych stanowią przychód, nie dochód, instytucji pożyczkowej. I to tylko w tym zakresie, w którym pożyczki zostaną zwrócone. Każda niespłacona pożyczka oznacza stratę. Nieprawdą jest również, że firma pożyczkowa czerpie zyski z pożyczek przeterminowanych. Takie wierzytelności są oprocentowane odsetkami 14% skali w roku, ale przeciętna firma pożyczkowa sprzedaje je już najdalej po 2-miesiącach do firmy windykacyjnej za przeciętnie 10-15% wartości. Oznacza to, że na transakcji realnie traci do 90% zainwestowanych w pożyczkę środków. Jest to działanie konieczne, aby zapewnić firmie pożyczkowej płynność, ponieważ jej działalność polega na udzielaniu pożyczek, a nie zarządzaniu wierzytelnościami – wymaga to zupełnie innych kompetencji. </w:t>
      </w:r>
    </w:p>
    <w:p w:rsidR="00545953" w:rsidRPr="0017485C" w:rsidRDefault="00545953" w:rsidP="0054595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545953" w:rsidRPr="0017485C" w:rsidRDefault="00545953" w:rsidP="0054595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Odnosimy również wrażenie, że Ministerstwo nie posiada danych na temat realnych kosztów ponoszonych przez przeciętnej wielkości internetową firmę pożyczkową – a przez to nie</w:t>
      </w:r>
      <w:r w:rsidR="002E5286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szacuje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ich</w:t>
      </w:r>
      <w:r w:rsidR="002E5286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prawidłowo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. Dlatego poniżej 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lastRenderedPageBreak/>
        <w:t>poglądowo prezentujemy wybrane, główne koszty działalności pożyczkowej, aby wykazać, że profesjonalna działalność wiąże się z wydatkami, które muszą być rekompensowane odpowiednimi przychodami.</w:t>
      </w:r>
    </w:p>
    <w:p w:rsidR="00545953" w:rsidRPr="0017485C" w:rsidRDefault="00545953" w:rsidP="00545953">
      <w:pPr>
        <w:shd w:val="clear" w:color="auto" w:fill="FFFFFF"/>
        <w:tabs>
          <w:tab w:val="left" w:pos="3031"/>
        </w:tabs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ab/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ab/>
      </w:r>
    </w:p>
    <w:p w:rsidR="00545953" w:rsidRPr="0017485C" w:rsidRDefault="00545953" w:rsidP="0054595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Na koszty prowadzenia działalności Instytucji Pożyczkowych składają się koszty stałe i koszty zmienne. Do kosztów stałych zaliczamy wydatki na wynagrodzenia pracowników, opłaty licencyjne za oprogramowanie, wynajem powierzchni biurowej, koszty obsługi prawnej i księgowej. Z analiz wynika, że przeciętna Instytucja Pożyczkowa działająca </w:t>
      </w: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w sektorze online zatrudniająca 30 pracowników wydaje na ten cel 2,48 mln zł rocznie.</w:t>
      </w:r>
    </w:p>
    <w:p w:rsidR="00545953" w:rsidRPr="0017485C" w:rsidRDefault="00545953" w:rsidP="0054595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545953" w:rsidRPr="0017485C" w:rsidRDefault="00545953" w:rsidP="0054595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Do kosztów zmiennych zaliczamy te, które zależą od popytu na dany produkt – rosną lub maleją w zależności od liczby pożyczkobiorców. Podstawowe koszty zmienne związane są z uzyskaniem dostępu do baz Biur Informacji Gospodarczej, Biura Informacji Kredytowej oraz innych rejestrów, z których korzystanie jest konieczne do prawidłowego badania zdolności kredytowej pożyczkobiorcy. Przeciętna Instytucja Pożyczkowa </w:t>
      </w: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wydaje na ten cel średnio 0,78 mln zł rocznie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.</w:t>
      </w:r>
    </w:p>
    <w:p w:rsidR="00545953" w:rsidRPr="0017485C" w:rsidRDefault="00545953" w:rsidP="0054595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545953" w:rsidRPr="0017485C" w:rsidRDefault="00545953" w:rsidP="0054595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Koszt pozyskania kapitału i ryzyka związanego z obracaniem nim stanowi główny składnik kosztu prowadzenia biznesu pożyczkowego w dużej skali. Przy założeniu kapitału o wartości 10 mln zł, koszt jego uzyskania od inwestora to przeciętnie </w:t>
      </w: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1,4 mln zł rocznie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 tytułem kuponu od obligacji lub analogicznej formy wynagrodzenia za inwestycję. Straty na kapitale, przy założeniu, że nie zwracana jest co piąta pożyczka, w tym przypadku wyniosą </w:t>
      </w: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1,8 mln zł rocznie (2 mln zł kosztu z tytułu niespłaconych pożyczek, 0,2 mln zł przychodu z tytułu sprzedaży wierzytelności do firmy zarządzającej wierzytelnościami)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.</w:t>
      </w:r>
    </w:p>
    <w:p w:rsidR="00545953" w:rsidRPr="0017485C" w:rsidRDefault="00545953" w:rsidP="0054595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545953" w:rsidRPr="0017485C" w:rsidRDefault="00545953" w:rsidP="0054595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Kolejne koszty zmienne dotyczą wydatków na działania marketingowe, w szczególności na reklamę. Zależą one m.in. od wyboru kanału reklamowego. </w:t>
      </w:r>
      <w:r w:rsidR="00EE3DBB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M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ała firma pożyczkowa wydaje na ten cel co najmniej </w:t>
      </w: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0,8 mln zł rocznie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. Jeżeli Instytucja Pożyczkowa zdecyduje się na reklamę w telewizji o zasięgu ogólnopolskim to koszty reklamy mogą dojść nawet do </w:t>
      </w:r>
      <w:r w:rsidRPr="0017485C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kilkudziesięciu milionów złotych</w:t>
      </w:r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. Jeżeli alternatywnie firma decyduje się na zakup kontaktu do klienta (</w:t>
      </w:r>
      <w:proofErr w:type="spellStart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>leada</w:t>
      </w:r>
      <w:proofErr w:type="spellEnd"/>
      <w:r w:rsidRPr="0017485C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 xml:space="preserve">) od pośrednika, musi na ten cel przeznaczyć przeciętnie 200 zł, a ponieważ 2 z 3 wniosków o pożyczki od nowych klientów są odrzucane z powodu braku zdolności kredytowej, koszt pozyskania jednego nowego klienta od pośrednika wynosi nawet 600 zł. </w:t>
      </w:r>
    </w:p>
    <w:p w:rsidR="00545953" w:rsidRPr="0017485C" w:rsidRDefault="00545953" w:rsidP="00545953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0676A0" w:rsidRPr="0085330D" w:rsidRDefault="00545953" w:rsidP="0085330D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EE3DBB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Podsumowując, przeciętne bieżące koszty niewielkiej Instytucji Pożyczkowej działającej wyłącznie w Internecie to 7,5 mln zł rocznie</w:t>
      </w:r>
      <w:r w:rsidR="00EE3DBB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 xml:space="preserve">. Aby osiągnąć takie przychody, przy limitach zaproponowanych przez Ministerstwo Sprawiedliwości, spółka musiałaby osiągnąć spłacalność 95% (strata tylko 1 z 20 udzielonych pożyczek, </w:t>
      </w:r>
      <w:r w:rsidR="00DC73B2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jest to wynik</w:t>
      </w:r>
      <w:r w:rsidR="00FB718B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 xml:space="preserve"> ekstremalnie</w:t>
      </w:r>
      <w:r w:rsidR="00DC73B2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 xml:space="preserve"> trudny do osiągnięcia nawet w sektorze bankowym</w:t>
      </w:r>
      <w:r w:rsidR="00EE3DBB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) i posiadać kapitał obrotowy 220 mln zł – nieosiągalny z punktu widzenia branży pożyczkowej</w:t>
      </w:r>
      <w:r w:rsidR="0085330D">
        <w:rPr>
          <w:rFonts w:ascii="Times New Roman" w:eastAsia="Times New Roman" w:hAnsi="Times New Roman" w:cs="Times New Roman"/>
          <w:b/>
          <w:color w:val="333333"/>
          <w:sz w:val="19"/>
          <w:szCs w:val="19"/>
          <w:lang w:eastAsia="pl-PL"/>
        </w:rPr>
        <w:t>, a także nie posiadać innej konkurencji na rynku.</w:t>
      </w:r>
    </w:p>
    <w:sectPr w:rsidR="000676A0" w:rsidRPr="0085330D" w:rsidSect="00577574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7C1" w:rsidRDefault="004B57C1" w:rsidP="00485C81">
      <w:r>
        <w:separator/>
      </w:r>
    </w:p>
  </w:endnote>
  <w:endnote w:type="continuationSeparator" w:id="0">
    <w:p w:rsidR="004B57C1" w:rsidRDefault="004B57C1" w:rsidP="004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904369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7485C" w:rsidRDefault="0017485C" w:rsidP="00CE261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7485C" w:rsidRDefault="0017485C" w:rsidP="00174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4319708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7485C" w:rsidRDefault="0017485C" w:rsidP="00CE261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17485C" w:rsidRDefault="0017485C" w:rsidP="0017485C">
    <w:pPr>
      <w:pStyle w:val="Stopka"/>
      <w:pBdr>
        <w:bottom w:val="single" w:sz="12" w:space="1" w:color="auto"/>
      </w:pBdr>
      <w:ind w:right="360"/>
      <w:rPr>
        <w:rFonts w:ascii="Arial" w:hAnsi="Arial" w:cs="Arial"/>
        <w:sz w:val="14"/>
        <w:szCs w:val="14"/>
      </w:rPr>
    </w:pPr>
  </w:p>
  <w:p w:rsidR="0017485C" w:rsidRDefault="0017485C">
    <w:pPr>
      <w:pStyle w:val="Stopka"/>
      <w:rPr>
        <w:rFonts w:ascii="Arial" w:hAnsi="Arial" w:cs="Arial"/>
        <w:sz w:val="14"/>
        <w:szCs w:val="14"/>
      </w:rPr>
    </w:pPr>
  </w:p>
  <w:p w:rsidR="0017485C" w:rsidRPr="0017485C" w:rsidRDefault="0017485C" w:rsidP="0017485C">
    <w:pPr>
      <w:pStyle w:val="Stopk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-746621</wp:posOffset>
          </wp:positionH>
          <wp:positionV relativeFrom="paragraph">
            <wp:posOffset>333051</wp:posOffset>
          </wp:positionV>
          <wp:extent cx="273855" cy="2306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40" cy="236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85C">
      <w:rPr>
        <w:rFonts w:ascii="Arial" w:hAnsi="Arial" w:cs="Arial"/>
        <w:sz w:val="14"/>
        <w:szCs w:val="14"/>
      </w:rPr>
      <w:t>Polski Związek Instytucji Pożyczkowych (PZIP), ul. Wiejska 12, 00-490 Warszawa, NIP: 5252614425, REGON: 361243668, wpisany do Krajowego Rejestru Sądowego pod numerem 0000550810, www.pzip.pl, kontakt@pzip.pl, tel. 22 692 42 43.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7C1" w:rsidRDefault="004B57C1" w:rsidP="00485C81">
      <w:r>
        <w:separator/>
      </w:r>
    </w:p>
  </w:footnote>
  <w:footnote w:type="continuationSeparator" w:id="0">
    <w:p w:rsidR="004B57C1" w:rsidRDefault="004B57C1" w:rsidP="00485C81">
      <w:r>
        <w:continuationSeparator/>
      </w:r>
    </w:p>
  </w:footnote>
  <w:footnote w:id="1">
    <w:p w:rsidR="00485C81" w:rsidRPr="00C9369A" w:rsidRDefault="00485C81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936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9369A">
        <w:rPr>
          <w:rFonts w:ascii="Times New Roman" w:hAnsi="Times New Roman" w:cs="Times New Roman"/>
          <w:sz w:val="16"/>
          <w:szCs w:val="16"/>
        </w:rPr>
        <w:t xml:space="preserve"> Wskaźnik ROA (return on </w:t>
      </w:r>
      <w:proofErr w:type="spellStart"/>
      <w:r w:rsidRPr="00C9369A">
        <w:rPr>
          <w:rFonts w:ascii="Times New Roman" w:hAnsi="Times New Roman" w:cs="Times New Roman"/>
          <w:sz w:val="16"/>
          <w:szCs w:val="16"/>
        </w:rPr>
        <w:t>assets</w:t>
      </w:r>
      <w:proofErr w:type="spellEnd"/>
      <w:r w:rsidRPr="00C9369A">
        <w:rPr>
          <w:rFonts w:ascii="Times New Roman" w:hAnsi="Times New Roman" w:cs="Times New Roman"/>
          <w:sz w:val="16"/>
          <w:szCs w:val="16"/>
        </w:rPr>
        <w:t>) branży pożyczkowej za 2017 r. na podstawie sprawozdań finansowych z Krajowego Rejestru Sądowego spółek – instytucji pożyczkowych wpisanych do Rejestru Instytucji Pożyczkowych Komisji Nadzoru Finansowego na dzień 31.03.2018 r.</w:t>
      </w:r>
    </w:p>
  </w:footnote>
  <w:footnote w:id="2">
    <w:p w:rsidR="00C9369A" w:rsidRPr="00C9369A" w:rsidRDefault="00C9369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936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936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C9369A">
        <w:rPr>
          <w:rFonts w:ascii="Times New Roman" w:hAnsi="Times New Roman" w:cs="Times New Roman"/>
          <w:sz w:val="16"/>
          <w:szCs w:val="16"/>
        </w:rPr>
        <w:t>pi</w:t>
      </w:r>
      <w:r>
        <w:rPr>
          <w:rFonts w:ascii="Times New Roman" w:hAnsi="Times New Roman" w:cs="Times New Roman"/>
          <w:sz w:val="16"/>
          <w:szCs w:val="16"/>
        </w:rPr>
        <w:t>nia Rzecznika</w:t>
      </w:r>
      <w:r w:rsidRPr="00C9369A">
        <w:rPr>
          <w:rFonts w:ascii="Times New Roman" w:hAnsi="Times New Roman" w:cs="Times New Roman"/>
          <w:sz w:val="16"/>
          <w:szCs w:val="16"/>
        </w:rPr>
        <w:t xml:space="preserve"> TSUE dotycząc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C9369A">
        <w:rPr>
          <w:rFonts w:ascii="Times New Roman" w:hAnsi="Times New Roman" w:cs="Times New Roman"/>
          <w:sz w:val="16"/>
          <w:szCs w:val="16"/>
        </w:rPr>
        <w:t xml:space="preserve"> pytania prejudycjalnego odnośnie do prawa konsumenta w związku z wcześniejszą spłatą kredytu (sprawa C 383/18)</w:t>
      </w:r>
      <w:r>
        <w:rPr>
          <w:rFonts w:ascii="Times New Roman" w:hAnsi="Times New Roman" w:cs="Times New Roman"/>
          <w:sz w:val="16"/>
          <w:szCs w:val="16"/>
        </w:rPr>
        <w:t xml:space="preserve"> z maja 2019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5C" w:rsidRDefault="0017485C" w:rsidP="0017485C">
    <w:pPr>
      <w:pStyle w:val="Nagwek"/>
      <w:jc w:val="center"/>
    </w:pPr>
    <w:r>
      <w:rPr>
        <w:noProof/>
      </w:rPr>
      <w:drawing>
        <wp:inline distT="0" distB="0" distL="0" distR="0">
          <wp:extent cx="1610703" cy="4719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353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485C" w:rsidRDefault="0017485C" w:rsidP="001748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697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6417E95"/>
    <w:multiLevelType w:val="multilevel"/>
    <w:tmpl w:val="EE248A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F2329F"/>
    <w:multiLevelType w:val="multilevel"/>
    <w:tmpl w:val="5538A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4110ED"/>
    <w:multiLevelType w:val="hybridMultilevel"/>
    <w:tmpl w:val="EF902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B52D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14B4C8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2"/>
    <w:rsid w:val="00024D41"/>
    <w:rsid w:val="00062970"/>
    <w:rsid w:val="0006347B"/>
    <w:rsid w:val="00080FF3"/>
    <w:rsid w:val="000A38F3"/>
    <w:rsid w:val="000B5CF3"/>
    <w:rsid w:val="000D6FA2"/>
    <w:rsid w:val="000F3066"/>
    <w:rsid w:val="00145C7F"/>
    <w:rsid w:val="0015143E"/>
    <w:rsid w:val="0017485C"/>
    <w:rsid w:val="001748A5"/>
    <w:rsid w:val="00174F70"/>
    <w:rsid w:val="00185F9A"/>
    <w:rsid w:val="001A612D"/>
    <w:rsid w:val="001C05C9"/>
    <w:rsid w:val="001C2496"/>
    <w:rsid w:val="001C6249"/>
    <w:rsid w:val="001D3E15"/>
    <w:rsid w:val="001F4671"/>
    <w:rsid w:val="00226F02"/>
    <w:rsid w:val="0022723B"/>
    <w:rsid w:val="00261931"/>
    <w:rsid w:val="00265EAC"/>
    <w:rsid w:val="002742BF"/>
    <w:rsid w:val="00285F8A"/>
    <w:rsid w:val="002E5286"/>
    <w:rsid w:val="00362E1E"/>
    <w:rsid w:val="003C4932"/>
    <w:rsid w:val="00412901"/>
    <w:rsid w:val="00485C81"/>
    <w:rsid w:val="004B57C1"/>
    <w:rsid w:val="0050255E"/>
    <w:rsid w:val="00545953"/>
    <w:rsid w:val="00577574"/>
    <w:rsid w:val="00583545"/>
    <w:rsid w:val="00664020"/>
    <w:rsid w:val="0069187B"/>
    <w:rsid w:val="006A700D"/>
    <w:rsid w:val="006B423E"/>
    <w:rsid w:val="006C5473"/>
    <w:rsid w:val="006D431F"/>
    <w:rsid w:val="006F3B81"/>
    <w:rsid w:val="007041E5"/>
    <w:rsid w:val="00710189"/>
    <w:rsid w:val="00755001"/>
    <w:rsid w:val="007600B0"/>
    <w:rsid w:val="00772656"/>
    <w:rsid w:val="00777E48"/>
    <w:rsid w:val="00794307"/>
    <w:rsid w:val="0085330D"/>
    <w:rsid w:val="009133D4"/>
    <w:rsid w:val="00963D73"/>
    <w:rsid w:val="009A4A79"/>
    <w:rsid w:val="009C699C"/>
    <w:rsid w:val="009E1501"/>
    <w:rsid w:val="00A20CE3"/>
    <w:rsid w:val="00A56D0A"/>
    <w:rsid w:val="00A63CB1"/>
    <w:rsid w:val="00A775D5"/>
    <w:rsid w:val="00B35778"/>
    <w:rsid w:val="00B401C4"/>
    <w:rsid w:val="00B53AFC"/>
    <w:rsid w:val="00B9690A"/>
    <w:rsid w:val="00BC12C6"/>
    <w:rsid w:val="00C53082"/>
    <w:rsid w:val="00C83E1A"/>
    <w:rsid w:val="00C9369A"/>
    <w:rsid w:val="00CA0AE8"/>
    <w:rsid w:val="00CB2D41"/>
    <w:rsid w:val="00D41FA3"/>
    <w:rsid w:val="00D730FC"/>
    <w:rsid w:val="00DA48DA"/>
    <w:rsid w:val="00DB1222"/>
    <w:rsid w:val="00DB7B4C"/>
    <w:rsid w:val="00DC73B2"/>
    <w:rsid w:val="00E856A3"/>
    <w:rsid w:val="00E9612B"/>
    <w:rsid w:val="00EE3DBB"/>
    <w:rsid w:val="00EF66FA"/>
    <w:rsid w:val="00F57CAF"/>
    <w:rsid w:val="00F72F4C"/>
    <w:rsid w:val="00F81805"/>
    <w:rsid w:val="00F924BC"/>
    <w:rsid w:val="00FA2CD6"/>
    <w:rsid w:val="00FA3BFE"/>
    <w:rsid w:val="00FA5EA9"/>
    <w:rsid w:val="00FB33E2"/>
    <w:rsid w:val="00FB718B"/>
    <w:rsid w:val="00FC7DC1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55C6"/>
  <w15:chartTrackingRefBased/>
  <w15:docId w15:val="{A14E0CD1-A019-4E4E-A549-6F50892F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0B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B0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C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C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5C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3CB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4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85C"/>
  </w:style>
  <w:style w:type="paragraph" w:styleId="Stopka">
    <w:name w:val="footer"/>
    <w:basedOn w:val="Normalny"/>
    <w:link w:val="StopkaZnak"/>
    <w:uiPriority w:val="99"/>
    <w:unhideWhenUsed/>
    <w:rsid w:val="00174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85C"/>
  </w:style>
  <w:style w:type="character" w:styleId="Numerstrony">
    <w:name w:val="page number"/>
    <w:basedOn w:val="Domylnaczcionkaakapitu"/>
    <w:uiPriority w:val="99"/>
    <w:semiHidden/>
    <w:unhideWhenUsed/>
    <w:rsid w:val="0017485C"/>
  </w:style>
  <w:style w:type="paragraph" w:styleId="Tytu">
    <w:name w:val="Title"/>
    <w:basedOn w:val="Normalny"/>
    <w:next w:val="Normalny"/>
    <w:link w:val="TytuZnak"/>
    <w:uiPriority w:val="10"/>
    <w:qFormat/>
    <w:rsid w:val="00777E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7E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2394</Words>
  <Characters>16088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instytucji pożyczkowych wobec projektu ustawy antylichwiarskiej</dc:title>
  <dc:subject/>
  <dc:creator>PZIP</dc:creator>
  <cp:keywords/>
  <dc:description/>
  <cp:lastModifiedBy>JR</cp:lastModifiedBy>
  <cp:revision>13</cp:revision>
  <dcterms:created xsi:type="dcterms:W3CDTF">2019-06-26T09:24:00Z</dcterms:created>
  <dcterms:modified xsi:type="dcterms:W3CDTF">2019-06-26T10:08:00Z</dcterms:modified>
  <cp:category/>
</cp:coreProperties>
</file>